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d123deed8f3db4aa5a47598fafae35fa">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d2a507c6c038b02fb6a3ee2b46c0dd4c"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UserInfo>
        <DisplayName>328 (Kingston-Upon-Thames) Sqn ATC</DisplayName>
        <AccountId>156</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FF0996-A5C3-44BF-9479-D59A5F6E7DFE}"/>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